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80" w:afterLines="50" w:line="520" w:lineRule="atLeast"/>
        <w:jc w:val="center"/>
        <w:rPr>
          <w:rFonts w:asciiTheme="minorEastAsia" w:hAnsiTheme="minorEastAsia"/>
          <w:b/>
          <w:color w:val="000000"/>
          <w:kern w:val="0"/>
          <w:sz w:val="36"/>
          <w:szCs w:val="44"/>
        </w:rPr>
      </w:pPr>
      <w:bookmarkStart w:id="0" w:name="_GoBack"/>
      <w:bookmarkEnd w:id="0"/>
      <w:r>
        <w:rPr>
          <w:rFonts w:hint="eastAsia" w:asciiTheme="minorEastAsia" w:hAnsiTheme="minorEastAsia"/>
          <w:b/>
          <w:color w:val="000000"/>
          <w:kern w:val="0"/>
          <w:sz w:val="36"/>
          <w:szCs w:val="44"/>
        </w:rPr>
        <w:t>嘉兴市201</w:t>
      </w:r>
      <w:r>
        <w:rPr>
          <w:rFonts w:hint="eastAsia" w:asciiTheme="minorEastAsia" w:hAnsiTheme="minorEastAsia"/>
          <w:b/>
          <w:color w:val="000000"/>
          <w:kern w:val="0"/>
          <w:sz w:val="36"/>
          <w:szCs w:val="44"/>
          <w:lang w:val="en-US" w:eastAsia="zh-CN"/>
        </w:rPr>
        <w:t>9</w:t>
      </w:r>
      <w:r>
        <w:rPr>
          <w:rFonts w:hint="eastAsia" w:asciiTheme="minorEastAsia" w:hAnsiTheme="minorEastAsia"/>
          <w:b/>
          <w:color w:val="000000"/>
          <w:kern w:val="0"/>
          <w:sz w:val="36"/>
          <w:szCs w:val="44"/>
        </w:rPr>
        <w:t>年</w:t>
      </w:r>
      <w:r>
        <w:rPr>
          <w:rFonts w:hint="eastAsia" w:asciiTheme="minorEastAsia" w:hAnsiTheme="minorEastAsia"/>
          <w:b/>
          <w:color w:val="000000"/>
          <w:kern w:val="0"/>
          <w:sz w:val="36"/>
          <w:szCs w:val="44"/>
          <w:lang w:eastAsia="zh-CN"/>
        </w:rPr>
        <w:t>第二批</w:t>
      </w:r>
      <w:r>
        <w:rPr>
          <w:rFonts w:hint="eastAsia" w:asciiTheme="minorEastAsia" w:hAnsiTheme="minorEastAsia"/>
          <w:b/>
          <w:color w:val="000000"/>
          <w:kern w:val="0"/>
          <w:sz w:val="36"/>
          <w:szCs w:val="44"/>
        </w:rPr>
        <w:t>省科技型中小企业名单</w:t>
      </w:r>
    </w:p>
    <w:tbl>
      <w:tblPr>
        <w:tblStyle w:val="2"/>
        <w:tblW w:w="842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5103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291" w:type="dxa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20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所在区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嘉兴爱索乐信息技术有限公司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嘉兴孚瑞科技有限公司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嘉兴禾清科技有限公司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嘉兴赫米信息技术有限公司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嘉兴清锋新材料有限公司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嘉兴市昌龙机械设备有限公司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嘉兴市华能环保设备有限公司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嘉兴市华信工程咨询有限公司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嘉兴市理想商贸科技有限公司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嘉兴市欧亚机械制造有限公司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嘉兴市瑞鑫塑业有限公司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嘉兴市同瑞纺织有限公司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嘉兴市亿豪金属制品有限公司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嘉兴市中欣工程检测有限公司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嘉兴钛胺新材料科技有限公司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嘉兴天益机械有限公司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嘉兴威信电气有限公司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嘉兴远凡信息科技股份有限公司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嘉兴正顺机械制造有限公司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微创龙脉医疗科技（嘉兴）有限公司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微创优通医疗科技（嘉兴）有限公司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跃驰（嘉兴）信息科技有限公司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浙江大瑞漆业科技有限公司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浙江加西贝拉科技服务股份有限公司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浙江嘉禾建设有限公司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浙江优嘉新材料科技有限公司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浙江中智鲸工智能装备有限公司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嘉兴辉鸿五金有限公司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嘉兴柯宇机械有限公司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嘉兴米兰映像家具有限公司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嘉兴敏捷技术服务有限公司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嘉兴庞氏电气设备有限公司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嘉兴荣硕机械有限公司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嘉兴神航精密零部件有限公司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嘉兴市大成袜业有限公司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嘉兴市迪筑工业技术有限公司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嘉兴市昊鸣纺织有限公司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嘉兴市华财塑业有限公司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嘉兴市明阳丝绸有限公司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嘉兴市秀洲区天禾藏红花专业合作社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嘉兴市银彩纺织股份有限公司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嘉兴市志华机械有限公司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嘉兴市洲洋塑业有限公司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嘉兴天欣五金制品有限公司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嘉兴新烓一反光材料有限公司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嘉兴知管通知识产权代理有限公司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浙江储盈新能源科技有限公司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浙江科睿化工有限公司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浙江小枫网络科技有限公司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浙江易优包装技术有限公司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秀洲区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恩利克（浙江）智能装备有限公司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鸿亿机械工业(浙江)有限公司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嘉善创能精密机械有限公司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嘉善佳腾自润滑材料厂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嘉善力天机械有限公司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嘉善铭鑫轴承有限公司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嘉善研仿纺织科技有限公司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嘉善众一箱包有限公司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嘉兴大力精密紧固件股份有限公司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嘉兴旷视医疗科技有限公司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嘉兴领宇科技有限公司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嘉兴欧飞生物科技有限公司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嘉兴泰洛斯家具有限公司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嘉兴温华环保科技有限公司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嘉兴振太机械有限公司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牧川精密传动（浙江）有限公司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浙江弘赫自动化技术有限公司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浙江汇迅骏机电技术有限公司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浙江聚盛电气有限公司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浙江明源电力科技有限公司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浙江友信机械工业有限公司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浙江玉安康瑞生物科技有限公司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浙江悦世新材料技术有限公司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嘉兴银工机械有限公司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嘉兴宝联机器人有限公司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嘉兴富瑞邦新材料科技有限公司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嘉兴市澳优节能评估服务有限公司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嘉兴市山河建设有限公司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嘉兴远景建设工程有限公司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嘉兴智宸光电科技有限公司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平湖恒隆纸管有限公司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平湖科普隆离合器有限公司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平湖市福通建设工程有限公司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平湖市嘉杰包装材料有限公司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平湖市众川机械有限公司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平湖市子元电子科技有限公司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威克诺森机械设备（中国）有限公司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浙江东煦材料科技有限公司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浙江微创新能源有限公司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海宁安连消防科技有限公司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海宁超迪塑业股份有限公司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海宁得尔机械制造有限公司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海宁东长针织化工有限公司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海宁和兴源纺织有限公司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海宁弘丰经编有限责任公司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海宁立潮工程咨询有限公司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海宁匹克太阳能有限公司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海宁日新保护材料实业有限公司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海宁市贝拉姆电子有限公司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海宁市博瑞通信技术有限公司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海宁市博展经编有限公司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海宁市创兴经编有限公司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海宁市德亿金属制品有限公司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海宁市芬尼司皮革科技服务有限公司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海宁市丰达新纤维有限公司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海宁市海铖电子有限公司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海宁市海洋保洁服务有限公司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海宁市汉达袜业有限责任公司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海宁市华意达金属制品有限公司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海宁市嘉鸿塑业有限公司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海宁市金九数码科技有限公司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海宁市晶成纺织有限公司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海宁市立雅科技有限公司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海宁市伦博纺织有限公司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海宁市伦迪纺织有限公司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海宁市欧师达经编有限公司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海宁市时代海派彩膜科技有限公司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海宁市速美印刷科技股份有限公司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海宁市泰纶纺织有限公司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海宁市唐氏服饰有限公司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海宁市新时代纺织有限公司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海宁市永翔塑胶纺织有限公司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海宁舒毯地毯科技股份有限公司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海宁天立金属制品有限公司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海宁通顺万向轮制造有限公司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海宁新利得化纤有限公司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海宁新业新材料科技有限公司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海宁旭扬新材料有限公司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海宁亚大塑料管道系统有限公司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海宁亿联金属配件有限公司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海宁源茂针织股份有限公司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嘉兴鼎泰自动化科技有限公司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嘉兴和昌电梯控制技术有限公司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嘉兴沃尔奇电器有限公司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嘉兴优沛实业有限公司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嘉兴远畅家具用品有限公司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浙江艾诺纺织科技有限公司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浙江奥年家居有限公司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浙江创新电器科技有限公司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浙江光维通信技术有限公司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浙江国富服饰有限公司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浙江汉保利罗袜业有限公司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浙江华工光润智能装备技术有限公司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浙江汇锋智造科技有限公司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浙江家辉太阳能科技有限公司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浙江嘉天环境建设有限公司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浙江莱恩海思医疗科技有限公司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浙江联鸿纤维科技股份有限公司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浙江玛萨琪纺织有限公司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浙江迈克思检测技术服务有限公司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浙江美达瑞新材料科技有限公司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浙江美力汽车弹簧有限公司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浙江明悦纺织科技有限公司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浙江墨溪健康科技有限公司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浙江农富纺织有限公司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浙江欧易智能科技有限公司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浙江荣鑫纤维有限公司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浙江三点水环保工程有限公司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浙江斯泰堡纺织有限公司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浙江天采云集科技股份有限公司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浙江天裕包装新材料有限公司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浙江万里虹纺织科技股份有限公司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浙江威玛逊建材科技有限公司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浙江氙科医疗器械有限公司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浙江一佳厨卫科技有限公司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浙江伊瑞尔净水设备有限公司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浙江永屹纺织有限公司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浙江悠然家居有限公司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嘉兴诚欣工程咨询有限公司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嘉兴锦明传动科技有限公司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嘉兴久顺科技有限公司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嘉兴雷特精密轴承有限公司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瑞德保信息科技（浙江）股份有限公司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桐乡华纳斯丝绸家纺有限公司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桐乡市迪诺纺织股份有限公司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桐乡市缔城建设有限公司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桐乡市广逸纺织有限公司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桐乡市恒达经编有限公司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桐乡市华顺印务有限公司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桐乡市绘诚被服有限公司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桐乡市建春塑业有限公司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桐乡市民合新星包装用品厂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桐乡市钛铪铖纺织机械有限公司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桐乡市腾辉纸管有限公司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桐乡市志华家纺有限公司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桐乡市中德纺织助剂有限公司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桐乡市中皋纺织有限公司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浙江东恒控股有限公司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浙江净膜环保有限责任公司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浙江酷趣网络科技有限公司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浙江绿树毛纺织有限公司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浙江秋黎服饰有限公司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浙江润龙针织品有限公司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浙江拓福塑业股份有限公司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浙江伟通复合材料有限公司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浙江友力建机电有限公司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</w:t>
            </w:r>
          </w:p>
        </w:tc>
      </w:tr>
    </w:tbl>
    <w:p>
      <w:pPr>
        <w:ind w:firstLine="420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914C7"/>
    <w:rsid w:val="2449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2019-10-09T03:19:00Z</dcterms:created>
  <dc:creator>sharhor</dc:creator>
  <cp:lastModifiedBy>sharhor</cp:lastModifiedBy>
  <dcterms:modified xsi:type="dcterms:W3CDTF">2019-10-09T03:20:02Z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